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457" w:rsidRDefault="00857C68">
      <w:pPr>
        <w:rPr>
          <w:rFonts w:ascii="Arial" w:eastAsia="Arial" w:hAnsi="Arial" w:cs="Arial"/>
          <w:b/>
          <w:sz w:val="36"/>
          <w:szCs w:val="36"/>
        </w:rPr>
      </w:pPr>
      <w:r>
        <w:rPr>
          <w:rFonts w:ascii="Arial" w:eastAsia="Arial" w:hAnsi="Arial" w:cs="Arial"/>
          <w:b/>
          <w:sz w:val="36"/>
          <w:szCs w:val="36"/>
        </w:rPr>
        <w:t>Framework Schedule 3 (Framework Prices)</w:t>
      </w:r>
    </w:p>
    <w:p w:rsidR="004C6457" w:rsidRDefault="00857C68">
      <w:pPr>
        <w:numPr>
          <w:ilvl w:val="0"/>
          <w:numId w:val="1"/>
        </w:numPr>
        <w:pBdr>
          <w:top w:val="nil"/>
          <w:left w:val="nil"/>
          <w:bottom w:val="nil"/>
          <w:right w:val="nil"/>
          <w:between w:val="nil"/>
        </w:pBdr>
        <w:tabs>
          <w:tab w:val="left" w:pos="142"/>
        </w:tabs>
        <w:spacing w:before="120" w:after="240" w:line="240" w:lineRule="auto"/>
        <w:jc w:val="both"/>
        <w:rPr>
          <w:sz w:val="26"/>
          <w:szCs w:val="26"/>
        </w:rPr>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4C6457" w:rsidRDefault="00857C68">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4C6457" w:rsidRDefault="00857C68">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4C6457" w:rsidRDefault="00857C68">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rsidR="004C6457" w:rsidRDefault="00857C68">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4C6457" w:rsidRDefault="00857C68">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4C6457" w:rsidRDefault="00857C68">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specific</w:t>
      </w:r>
      <w:r>
        <w:rPr>
          <w:rFonts w:ascii="Arial" w:eastAsia="Arial" w:hAnsi="Arial" w:cs="Arial"/>
          <w:color w:val="000000"/>
          <w:sz w:val="24"/>
          <w:szCs w:val="24"/>
        </w:rPr>
        <w:t>ally permitted by the Call Off Contract and in particular shall not be subject to Indexation</w:t>
      </w:r>
      <w:r>
        <w:rPr>
          <w:rFonts w:ascii="Arial" w:eastAsia="Arial" w:hAnsi="Arial" w:cs="Arial"/>
          <w:sz w:val="24"/>
          <w:szCs w:val="24"/>
        </w:rPr>
        <w:t xml:space="preserve">. </w:t>
      </w:r>
    </w:p>
    <w:p w:rsidR="004C6457" w:rsidRDefault="004C6457">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rsidR="004C6457" w:rsidRDefault="00857C68">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4C6457" w:rsidRDefault="00857C68">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rsidR="004C6457" w:rsidRDefault="00857C68">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 Costs and expenses </w:t>
      </w:r>
    </w:p>
    <w:p w:rsidR="004C6457" w:rsidRDefault="00857C68">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sz w:val="24"/>
          <w:szCs w:val="24"/>
        </w:rPr>
        <w:t xml:space="preserve">Except as expressly set out in paragraph 4 (Reimbursable Expenses) of this Framework Schedule 3, </w:t>
      </w:r>
      <w:r>
        <w:rPr>
          <w:rFonts w:ascii="Arial" w:eastAsia="Arial" w:hAnsi="Arial" w:cs="Arial"/>
          <w:sz w:val="24"/>
          <w:szCs w:val="24"/>
        </w:rPr>
        <w:t xml:space="preserve">the Framework Prices shall include all costs and expenses relating to the Services provided to the Buyer and/or the Suppliers performance of its obligations under any Call Off Contracts and no further amounts shall be payable by a Buyer to the Supplier in </w:t>
      </w:r>
      <w:r>
        <w:rPr>
          <w:rFonts w:ascii="Arial" w:eastAsia="Arial" w:hAnsi="Arial" w:cs="Arial"/>
          <w:sz w:val="24"/>
          <w:szCs w:val="24"/>
        </w:rPr>
        <w:t xml:space="preserve">respect of such performance, including in respect of matters such as: </w:t>
      </w:r>
    </w:p>
    <w:p w:rsidR="004C6457" w:rsidRDefault="00857C68">
      <w:pPr>
        <w:numPr>
          <w:ilvl w:val="2"/>
          <w:numId w:val="1"/>
        </w:numPr>
        <w:pBdr>
          <w:top w:val="nil"/>
          <w:left w:val="nil"/>
          <w:bottom w:val="nil"/>
          <w:right w:val="nil"/>
          <w:between w:val="nil"/>
        </w:pBdr>
        <w:tabs>
          <w:tab w:val="left" w:pos="1985"/>
          <w:tab w:val="left" w:pos="2127"/>
          <w:tab w:val="left" w:pos="1980"/>
        </w:tabs>
        <w:spacing w:before="120" w:after="120" w:line="240" w:lineRule="auto"/>
        <w:ind w:left="1984" w:hanging="850"/>
        <w:rPr>
          <w:rFonts w:ascii="Arial" w:eastAsia="Arial" w:hAnsi="Arial" w:cs="Arial"/>
          <w:sz w:val="24"/>
          <w:szCs w:val="24"/>
        </w:rPr>
      </w:pPr>
      <w:r>
        <w:rPr>
          <w:rFonts w:ascii="Arial" w:eastAsia="Arial" w:hAnsi="Arial" w:cs="Arial"/>
          <w:sz w:val="24"/>
          <w:szCs w:val="24"/>
        </w:rPr>
        <w:t>incidental expenses that the Supplier incurs, including travel, subsistence and lodging, document or report reproduction, shipping, desktop or office equipment costs required by the Sup</w:t>
      </w:r>
      <w:r>
        <w:rPr>
          <w:rFonts w:ascii="Arial" w:eastAsia="Arial" w:hAnsi="Arial" w:cs="Arial"/>
          <w:sz w:val="24"/>
          <w:szCs w:val="24"/>
        </w:rPr>
        <w:t xml:space="preserve">plier Personnel, network or data interchange costs or other telecommunications charges; or </w:t>
      </w:r>
    </w:p>
    <w:p w:rsidR="004C6457" w:rsidRDefault="00857C68">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rPr>
          <w:rFonts w:ascii="Arial" w:eastAsia="Arial" w:hAnsi="Arial" w:cs="Arial"/>
          <w:sz w:val="24"/>
          <w:szCs w:val="24"/>
        </w:rPr>
      </w:pPr>
      <w:r>
        <w:rPr>
          <w:rFonts w:ascii="Arial" w:eastAsia="Arial" w:hAnsi="Arial" w:cs="Arial"/>
          <w:sz w:val="24"/>
          <w:szCs w:val="24"/>
        </w:rPr>
        <w:t>any amount for any services provided or costs incurred by the Supplier prior to the commencement date of any Call Off Contract.</w:t>
      </w:r>
      <w:r>
        <w:rPr>
          <w:rFonts w:ascii="Arial" w:eastAsia="Arial" w:hAnsi="Arial" w:cs="Arial"/>
          <w:sz w:val="24"/>
          <w:szCs w:val="24"/>
        </w:rPr>
        <w:t>; or</w:t>
      </w:r>
    </w:p>
    <w:p w:rsidR="004C6457" w:rsidRDefault="00857C68">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rsidR="004C6457" w:rsidRDefault="00857C68">
      <w:pPr>
        <w:numPr>
          <w:ilvl w:val="0"/>
          <w:numId w:val="1"/>
        </w:numPr>
        <w:tabs>
          <w:tab w:val="left" w:pos="142"/>
        </w:tabs>
        <w:spacing w:before="120" w:after="240" w:line="240" w:lineRule="auto"/>
        <w:jc w:val="both"/>
      </w:pPr>
      <w:r>
        <w:rPr>
          <w:rFonts w:ascii="Arial" w:eastAsia="Arial" w:hAnsi="Arial" w:cs="Arial"/>
          <w:b/>
          <w:sz w:val="24"/>
          <w:szCs w:val="24"/>
        </w:rPr>
        <w:t>Reimbursable expenses</w:t>
      </w:r>
    </w:p>
    <w:p w:rsidR="004C6457" w:rsidRDefault="00857C68">
      <w:pPr>
        <w:numPr>
          <w:ilvl w:val="1"/>
          <w:numId w:val="1"/>
        </w:numPr>
        <w:tabs>
          <w:tab w:val="left" w:pos="142"/>
        </w:tabs>
        <w:spacing w:before="120" w:after="240" w:line="240" w:lineRule="auto"/>
        <w:jc w:val="both"/>
        <w:rPr>
          <w:sz w:val="24"/>
          <w:szCs w:val="24"/>
        </w:rPr>
      </w:pPr>
      <w:r>
        <w:rPr>
          <w:rFonts w:ascii="Arial" w:eastAsia="Arial" w:hAnsi="Arial" w:cs="Arial"/>
          <w:sz w:val="24"/>
          <w:szCs w:val="24"/>
        </w:rPr>
        <w:t xml:space="preserve">Where Services are to be provided to the Buyer under any Call Off Contract on the basis of Framework Prices submitted by the Supplier to CCS using the Time </w:t>
      </w:r>
      <w:r>
        <w:rPr>
          <w:rFonts w:ascii="Arial" w:eastAsia="Arial" w:hAnsi="Arial" w:cs="Arial"/>
          <w:sz w:val="24"/>
          <w:szCs w:val="24"/>
        </w:rPr>
        <w:lastRenderedPageBreak/>
        <w:t>and Materia</w:t>
      </w:r>
      <w:r>
        <w:rPr>
          <w:rFonts w:ascii="Arial" w:eastAsia="Arial" w:hAnsi="Arial" w:cs="Arial"/>
          <w:sz w:val="24"/>
          <w:szCs w:val="24"/>
        </w:rPr>
        <w:t>ls pricing mechanism set out in Annex 1, the Supplier shall be entitled to be reimbursed by the Buyer for Reimbursable Expenses (in addition to being paid the relevant Charges under the respective Call Off Contracts), provided that such Reimbursable Expens</w:t>
      </w:r>
      <w:r>
        <w:rPr>
          <w:rFonts w:ascii="Arial" w:eastAsia="Arial" w:hAnsi="Arial" w:cs="Arial"/>
          <w:sz w:val="24"/>
          <w:szCs w:val="24"/>
        </w:rPr>
        <w:t xml:space="preserve">es are supported by Supporting Documentation. The Buyer shall provide a copy of their current expenses policy to the Supplier upon request. </w:t>
      </w:r>
    </w:p>
    <w:p w:rsidR="004C6457" w:rsidRDefault="00857C68">
      <w:pPr>
        <w:numPr>
          <w:ilvl w:val="0"/>
          <w:numId w:val="1"/>
        </w:numPr>
        <w:tabs>
          <w:tab w:val="left" w:pos="142"/>
        </w:tabs>
        <w:spacing w:before="120" w:after="240" w:line="240" w:lineRule="auto"/>
        <w:jc w:val="both"/>
        <w:rPr>
          <w:sz w:val="24"/>
          <w:szCs w:val="24"/>
        </w:rPr>
      </w:pPr>
      <w:r>
        <w:rPr>
          <w:rFonts w:ascii="Arial" w:eastAsia="Arial" w:hAnsi="Arial" w:cs="Arial"/>
          <w:b/>
          <w:sz w:val="24"/>
          <w:szCs w:val="24"/>
        </w:rPr>
        <w:t>Other events that allow the Supplier to change the Framework Prices</w:t>
      </w:r>
    </w:p>
    <w:p w:rsidR="004C6457" w:rsidRDefault="00857C68">
      <w:pPr>
        <w:numPr>
          <w:ilvl w:val="1"/>
          <w:numId w:val="1"/>
        </w:numPr>
        <w:tabs>
          <w:tab w:val="left" w:pos="709"/>
        </w:tabs>
        <w:spacing w:before="120" w:after="120" w:line="240" w:lineRule="auto"/>
      </w:pPr>
      <w:r>
        <w:rPr>
          <w:rFonts w:ascii="Arial" w:eastAsia="Arial" w:hAnsi="Arial" w:cs="Arial"/>
          <w:sz w:val="24"/>
          <w:szCs w:val="24"/>
        </w:rPr>
        <w:t>The Framework Prices can also be varied (and An</w:t>
      </w:r>
      <w:r>
        <w:rPr>
          <w:rFonts w:ascii="Arial" w:eastAsia="Arial" w:hAnsi="Arial" w:cs="Arial"/>
          <w:sz w:val="24"/>
          <w:szCs w:val="24"/>
        </w:rPr>
        <w:t>nex 1 will be updated accordingly) due to:</w:t>
      </w:r>
    </w:p>
    <w:p w:rsidR="004C6457" w:rsidRDefault="00857C68">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Specific Change in Law in accordance with Clause 24;</w:t>
      </w:r>
    </w:p>
    <w:p w:rsidR="004C6457" w:rsidRDefault="00857C68">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 xml:space="preserve">a review in accordance with insurance requirements in Clause 13; </w:t>
      </w:r>
    </w:p>
    <w:p w:rsidR="004C6457" w:rsidRDefault="00857C68">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benchmarking review in accordance with Call Off Schedule 16 (Benchmarking): and</w:t>
      </w:r>
    </w:p>
    <w:p w:rsidR="004C6457" w:rsidRDefault="00857C68">
      <w:pPr>
        <w:numPr>
          <w:ilvl w:val="2"/>
          <w:numId w:val="1"/>
        </w:numPr>
        <w:tabs>
          <w:tab w:val="left" w:pos="1985"/>
          <w:tab w:val="left" w:pos="2127"/>
        </w:tabs>
        <w:spacing w:before="120" w:after="120" w:line="240" w:lineRule="auto"/>
        <w:rPr>
          <w:rFonts w:ascii="Arial" w:eastAsia="Arial" w:hAnsi="Arial" w:cs="Arial"/>
        </w:rPr>
      </w:pPr>
      <w:proofErr w:type="gramStart"/>
      <w:r>
        <w:rPr>
          <w:rFonts w:ascii="Arial" w:eastAsia="Arial" w:hAnsi="Arial" w:cs="Arial"/>
          <w:sz w:val="24"/>
          <w:szCs w:val="24"/>
        </w:rPr>
        <w:t>a</w:t>
      </w:r>
      <w:proofErr w:type="gramEnd"/>
      <w:r>
        <w:rPr>
          <w:rFonts w:ascii="Arial" w:eastAsia="Arial" w:hAnsi="Arial" w:cs="Arial"/>
          <w:sz w:val="24"/>
          <w:szCs w:val="24"/>
        </w:rPr>
        <w:t xml:space="preserve"> request </w:t>
      </w:r>
      <w:r>
        <w:rPr>
          <w:rFonts w:ascii="Arial" w:eastAsia="Arial" w:hAnsi="Arial" w:cs="Arial"/>
          <w:sz w:val="24"/>
          <w:szCs w:val="24"/>
        </w:rPr>
        <w:t>from the Supplier, which it can make at any time, to decrease the Framework Prices.</w:t>
      </w:r>
    </w:p>
    <w:p w:rsidR="004C6457" w:rsidRDefault="004C6457">
      <w:pPr>
        <w:tabs>
          <w:tab w:val="left" w:pos="1985"/>
          <w:tab w:val="left" w:pos="2127"/>
        </w:tabs>
        <w:spacing w:before="120" w:after="120" w:line="240" w:lineRule="auto"/>
        <w:ind w:left="608"/>
        <w:rPr>
          <w:rFonts w:ascii="Arial" w:eastAsia="Arial" w:hAnsi="Arial" w:cs="Arial"/>
          <w:sz w:val="24"/>
          <w:szCs w:val="24"/>
        </w:rPr>
      </w:pPr>
    </w:p>
    <w:p w:rsidR="004C6457" w:rsidRDefault="00857C68">
      <w:pPr>
        <w:numPr>
          <w:ilvl w:val="0"/>
          <w:numId w:val="1"/>
        </w:numPr>
        <w:tabs>
          <w:tab w:val="left" w:pos="142"/>
        </w:tabs>
        <w:spacing w:before="120" w:after="240" w:line="240" w:lineRule="auto"/>
        <w:jc w:val="both"/>
      </w:pPr>
      <w:r>
        <w:rPr>
          <w:rFonts w:ascii="Arial" w:eastAsia="Arial" w:hAnsi="Arial" w:cs="Arial"/>
          <w:b/>
          <w:sz w:val="24"/>
          <w:szCs w:val="24"/>
        </w:rPr>
        <w:t xml:space="preserve">Not Used  </w:t>
      </w:r>
    </w:p>
    <w:p w:rsidR="004C6457" w:rsidRDefault="00857C68">
      <w:pPr>
        <w:numPr>
          <w:ilvl w:val="0"/>
          <w:numId w:val="1"/>
        </w:numPr>
        <w:tabs>
          <w:tab w:val="left" w:pos="142"/>
        </w:tabs>
        <w:spacing w:before="120" w:after="240" w:line="240" w:lineRule="auto"/>
        <w:jc w:val="both"/>
        <w:rPr>
          <w:b/>
        </w:rPr>
      </w:pPr>
      <w:r>
        <w:rPr>
          <w:rFonts w:ascii="Arial" w:eastAsia="Arial" w:hAnsi="Arial" w:cs="Arial"/>
          <w:b/>
          <w:sz w:val="24"/>
          <w:szCs w:val="24"/>
        </w:rPr>
        <w:t>When you will be reimbursed for travel and subsistence</w:t>
      </w:r>
    </w:p>
    <w:p w:rsidR="004C6457" w:rsidRDefault="00857C68">
      <w:pPr>
        <w:numPr>
          <w:ilvl w:val="1"/>
          <w:numId w:val="1"/>
        </w:numPr>
        <w:tabs>
          <w:tab w:val="left" w:pos="709"/>
        </w:tabs>
        <w:spacing w:before="120" w:after="120" w:line="240" w:lineRule="auto"/>
      </w:pPr>
      <w:r>
        <w:rPr>
          <w:rFonts w:ascii="Arial" w:eastAsia="Arial" w:hAnsi="Arial" w:cs="Arial"/>
          <w:sz w:val="24"/>
          <w:szCs w:val="24"/>
        </w:rPr>
        <w:t>Expenses shall only be recoverable where:</w:t>
      </w:r>
    </w:p>
    <w:p w:rsidR="004C6457" w:rsidRDefault="00857C68">
      <w:pPr>
        <w:numPr>
          <w:ilvl w:val="2"/>
          <w:numId w:val="1"/>
        </w:numP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any of the pricing mechanisms listed in Annex 1 is used; and</w:t>
      </w:r>
    </w:p>
    <w:p w:rsidR="004C6457" w:rsidRDefault="00857C68">
      <w:pPr>
        <w:numPr>
          <w:ilvl w:val="2"/>
          <w:numId w:val="1"/>
        </w:numP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the Order Form states that recovery is permitted; and</w:t>
      </w:r>
    </w:p>
    <w:p w:rsidR="004C6457" w:rsidRDefault="00857C68">
      <w:pPr>
        <w:numPr>
          <w:ilvl w:val="2"/>
          <w:numId w:val="1"/>
        </w:numPr>
        <w:tabs>
          <w:tab w:val="left" w:pos="1985"/>
          <w:tab w:val="left" w:pos="2127"/>
          <w:tab w:val="left" w:pos="1980"/>
        </w:tabs>
        <w:spacing w:before="120" w:after="120" w:line="240" w:lineRule="auto"/>
        <w:rPr>
          <w:rFonts w:ascii="Arial" w:eastAsia="Arial" w:hAnsi="Arial" w:cs="Arial"/>
        </w:rPr>
      </w:pPr>
      <w:proofErr w:type="gramStart"/>
      <w:r>
        <w:rPr>
          <w:rFonts w:ascii="Arial" w:eastAsia="Arial" w:hAnsi="Arial" w:cs="Arial"/>
          <w:sz w:val="24"/>
          <w:szCs w:val="24"/>
        </w:rPr>
        <w:t>they</w:t>
      </w:r>
      <w:proofErr w:type="gramEnd"/>
      <w:r>
        <w:rPr>
          <w:rFonts w:ascii="Arial" w:eastAsia="Arial" w:hAnsi="Arial" w:cs="Arial"/>
          <w:sz w:val="24"/>
          <w:szCs w:val="24"/>
        </w:rPr>
        <w:t xml:space="preserve"> are Reimbursable Expenses and are supported by Supporting Documentation.</w:t>
      </w:r>
    </w:p>
    <w:p w:rsidR="004C6457" w:rsidRDefault="00857C68">
      <w:pPr>
        <w:numPr>
          <w:ilvl w:val="1"/>
          <w:numId w:val="1"/>
        </w:numPr>
        <w:tabs>
          <w:tab w:val="left" w:pos="709"/>
        </w:tabs>
        <w:spacing w:before="120" w:after="120" w:line="240" w:lineRule="auto"/>
      </w:pPr>
      <w:bookmarkStart w:id="2" w:name="_heading=h.tyjcwt" w:colFirst="0" w:colLast="0"/>
      <w:bookmarkEnd w:id="2"/>
      <w:r>
        <w:rPr>
          <w:rFonts w:ascii="Arial" w:eastAsia="Arial" w:hAnsi="Arial" w:cs="Arial"/>
          <w:sz w:val="24"/>
          <w:szCs w:val="24"/>
        </w:rPr>
        <w:t>For the purposes of paragraph 7.1 of this Schedule, a “</w:t>
      </w:r>
      <w:r>
        <w:rPr>
          <w:rFonts w:ascii="Arial" w:eastAsia="Arial" w:hAnsi="Arial" w:cs="Arial"/>
          <w:b/>
          <w:sz w:val="24"/>
          <w:szCs w:val="24"/>
        </w:rPr>
        <w:t>Time and Materials pricing mechanism</w:t>
      </w:r>
      <w:r>
        <w:rPr>
          <w:rFonts w:ascii="Arial" w:eastAsia="Arial" w:hAnsi="Arial" w:cs="Arial"/>
          <w:sz w:val="24"/>
          <w:szCs w:val="24"/>
        </w:rPr>
        <w:t>” means a pricing mechanism where</w:t>
      </w:r>
      <w:r>
        <w:rPr>
          <w:rFonts w:ascii="Arial" w:eastAsia="Arial" w:hAnsi="Arial" w:cs="Arial"/>
          <w:sz w:val="24"/>
          <w:szCs w:val="24"/>
        </w:rPr>
        <w:t>by the Buyer agrees to pay the Supplier based upon the work performed by the Supplier's Staff, and for materials used in the project, no matter how much work is required to complete the project. In the event that a Call-Off Contract uses this pricing mecha</w:t>
      </w:r>
      <w:r>
        <w:rPr>
          <w:rFonts w:ascii="Arial" w:eastAsia="Arial" w:hAnsi="Arial" w:cs="Arial"/>
          <w:sz w:val="24"/>
          <w:szCs w:val="24"/>
        </w:rPr>
        <w:t>nism the price shall be based upon the prices detailed in Table 1 of Annex 1 to Framework Schedule 3.</w:t>
      </w:r>
    </w:p>
    <w:p w:rsidR="004C6457" w:rsidRDefault="00857C68">
      <w:pPr>
        <w:numPr>
          <w:ilvl w:val="1"/>
          <w:numId w:val="1"/>
        </w:numPr>
        <w:tabs>
          <w:tab w:val="left" w:pos="709"/>
        </w:tabs>
        <w:spacing w:before="120" w:after="120" w:line="240" w:lineRule="auto"/>
        <w:rPr>
          <w:highlight w:val="yellow"/>
        </w:rPr>
      </w:pPr>
      <w:bookmarkStart w:id="3" w:name="_heading=h.3dy6vkm" w:colFirst="0" w:colLast="0"/>
      <w:bookmarkEnd w:id="3"/>
      <w:r>
        <w:rPr>
          <w:rFonts w:ascii="Arial" w:eastAsia="Arial" w:hAnsi="Arial" w:cs="Arial"/>
          <w:sz w:val="24"/>
          <w:szCs w:val="24"/>
          <w:highlight w:val="yellow"/>
        </w:rPr>
        <w:t>[The Buyer shall provide a copy of their current expenses policy to the Supplier upon request</w:t>
      </w:r>
      <w:proofErr w:type="gramStart"/>
      <w:r>
        <w:rPr>
          <w:rFonts w:ascii="Arial" w:eastAsia="Arial" w:hAnsi="Arial" w:cs="Arial"/>
          <w:sz w:val="24"/>
          <w:szCs w:val="24"/>
          <w:highlight w:val="yellow"/>
        </w:rPr>
        <w:t>. ]</w:t>
      </w:r>
      <w:proofErr w:type="gramEnd"/>
    </w:p>
    <w:p w:rsidR="004C6457" w:rsidRDefault="00857C68">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sz w:val="24"/>
          <w:szCs w:val="24"/>
        </w:rPr>
        <w:t>Not Used</w:t>
      </w:r>
    </w:p>
    <w:p w:rsidR="004C6457" w:rsidRDefault="004C6457">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sz w:val="24"/>
          <w:szCs w:val="24"/>
        </w:rPr>
      </w:pPr>
    </w:p>
    <w:p w:rsidR="004C6457" w:rsidRDefault="004C6457">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sz w:val="24"/>
          <w:szCs w:val="24"/>
        </w:rPr>
      </w:pPr>
    </w:p>
    <w:p w:rsidR="004C6457" w:rsidRDefault="00857C68">
      <w:pPr>
        <w:rPr>
          <w:rFonts w:ascii="Arial" w:eastAsia="Arial" w:hAnsi="Arial" w:cs="Arial"/>
          <w:b/>
          <w:sz w:val="36"/>
          <w:szCs w:val="36"/>
        </w:rPr>
      </w:pPr>
      <w:bookmarkStart w:id="4" w:name="_heading=h.2et92p0" w:colFirst="0" w:colLast="0"/>
      <w:bookmarkEnd w:id="4"/>
      <w:r>
        <w:br w:type="page"/>
      </w:r>
      <w:r>
        <w:rPr>
          <w:rFonts w:ascii="Arial" w:eastAsia="Arial" w:hAnsi="Arial" w:cs="Arial"/>
          <w:b/>
          <w:sz w:val="36"/>
          <w:szCs w:val="36"/>
        </w:rPr>
        <w:lastRenderedPageBreak/>
        <w:t>Annex 1: Rates and Prices</w:t>
      </w:r>
    </w:p>
    <w:p w:rsidR="00114079" w:rsidRDefault="00114079">
      <w:pPr>
        <w:rPr>
          <w:rFonts w:ascii="Arial" w:eastAsia="Arial" w:hAnsi="Arial" w:cs="Arial"/>
          <w:b/>
          <w:sz w:val="36"/>
          <w:szCs w:val="36"/>
        </w:rPr>
      </w:pPr>
      <w:r>
        <w:rPr>
          <w:rFonts w:ascii="Arial" w:eastAsia="Arial" w:hAnsi="Arial" w:cs="Arial"/>
          <w:b/>
          <w:sz w:val="24"/>
          <w:szCs w:val="24"/>
          <w:highlight w:val="yellow"/>
        </w:rPr>
        <w:t>REDACTED</w:t>
      </w:r>
    </w:p>
    <w:p w:rsidR="004C6457" w:rsidRDefault="00857C68">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4C6457" w:rsidRDefault="00857C68">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4C6457" w:rsidRDefault="00857C68">
      <w:p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color w:val="000000"/>
          <w:sz w:val="24"/>
          <w:szCs w:val="24"/>
        </w:rPr>
        <w:t>The rates below shall not be subject to variation by way of Indexation</w:t>
      </w:r>
    </w:p>
    <w:tbl>
      <w:tblPr>
        <w:tblStyle w:val="af5"/>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4C6457">
        <w:tc>
          <w:tcPr>
            <w:tcW w:w="4560" w:type="dxa"/>
            <w:tcBorders>
              <w:bottom w:val="single" w:sz="4" w:space="0" w:color="000000"/>
            </w:tcBorders>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0" w:type="dxa"/>
            <w:tcBorders>
              <w:bottom w:val="single" w:sz="4" w:space="0" w:color="000000"/>
            </w:tcBorders>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4C6457">
        <w:tc>
          <w:tcPr>
            <w:tcW w:w="4560" w:type="dxa"/>
            <w:tcBorders>
              <w:top w:val="single" w:sz="4" w:space="0" w:color="000000"/>
              <w:left w:val="single" w:sz="4" w:space="0" w:color="000000"/>
              <w:bottom w:val="nil"/>
              <w:right w:val="single" w:sz="4" w:space="0" w:color="000000"/>
            </w:tcBorders>
          </w:tcPr>
          <w:p w:rsidR="004C6457" w:rsidRDefault="00857C68">
            <w:pPr>
              <w:keepNext/>
              <w:pBdr>
                <w:top w:val="nil"/>
                <w:left w:val="nil"/>
                <w:bottom w:val="nil"/>
                <w:right w:val="nil"/>
                <w:between w:val="nil"/>
              </w:pBdr>
              <w:spacing w:before="240" w:after="120"/>
              <w:ind w:left="-141"/>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sz w:val="24"/>
                <w:szCs w:val="24"/>
              </w:rPr>
              <w:t>Partner / Managing Director</w:t>
            </w:r>
          </w:p>
        </w:tc>
        <w:tc>
          <w:tcPr>
            <w:tcW w:w="4560" w:type="dxa"/>
            <w:tcBorders>
              <w:top w:val="single" w:sz="4" w:space="0" w:color="000000"/>
              <w:left w:val="single" w:sz="4" w:space="0" w:color="000000"/>
              <w:bottom w:val="single" w:sz="4" w:space="0" w:color="000000"/>
              <w:right w:val="single" w:sz="4" w:space="0" w:color="000000"/>
            </w:tcBorders>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rPr>
                <w:rFonts w:ascii="Arial" w:eastAsia="Arial" w:hAnsi="Arial" w:cs="Arial"/>
                <w:color w:val="000000"/>
                <w:sz w:val="24"/>
                <w:szCs w:val="24"/>
              </w:rPr>
            </w:pPr>
            <w:r>
              <w:rPr>
                <w:rFonts w:ascii="Arial" w:eastAsia="Arial" w:hAnsi="Arial" w:cs="Arial"/>
                <w:sz w:val="24"/>
                <w:szCs w:val="24"/>
              </w:rPr>
              <w:t>Managing Consultant / Director / Associate Partner</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 xml:space="preserve">Principal Consultant / Associate Director / Senior Manager </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Senior Consultant / Manager</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Consultant / Senior Analyst / Senior Associate / Assistant Manager</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Analyst / Junior Consultant / Associate</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bl>
    <w:p w:rsidR="004C6457" w:rsidRDefault="00857C68">
      <w:pPr>
        <w:keepNext/>
        <w:spacing w:before="240" w:after="240" w:line="240" w:lineRule="auto"/>
        <w:rPr>
          <w:rFonts w:ascii="Arial" w:eastAsia="Arial" w:hAnsi="Arial" w:cs="Arial"/>
          <w:b/>
          <w:sz w:val="24"/>
          <w:szCs w:val="24"/>
        </w:rPr>
      </w:pPr>
      <w:r>
        <w:rPr>
          <w:rFonts w:ascii="Arial" w:eastAsia="Arial" w:hAnsi="Arial" w:cs="Arial"/>
          <w:b/>
          <w:sz w:val="24"/>
          <w:szCs w:val="24"/>
        </w:rPr>
        <w:t>Table 2: Hourly Prices</w:t>
      </w:r>
    </w:p>
    <w:p w:rsidR="004C6457" w:rsidRDefault="00857C68">
      <w:pPr>
        <w:keepNext/>
        <w:spacing w:before="240" w:after="240" w:line="240" w:lineRule="auto"/>
        <w:rPr>
          <w:rFonts w:ascii="Arial" w:eastAsia="Arial" w:hAnsi="Arial" w:cs="Arial"/>
          <w:sz w:val="24"/>
          <w:szCs w:val="24"/>
        </w:rPr>
      </w:pPr>
      <w:r>
        <w:rPr>
          <w:rFonts w:ascii="Arial" w:eastAsia="Arial" w:hAnsi="Arial" w:cs="Arial"/>
          <w:sz w:val="24"/>
          <w:szCs w:val="24"/>
        </w:rPr>
        <w:t xml:space="preserve">The Supplier (and its Sub-Contractor) shall not be entitled to include any uplift for risks or contingencies within its hourly rates. </w:t>
      </w:r>
    </w:p>
    <w:p w:rsidR="004C6457" w:rsidRDefault="00857C68">
      <w:pPr>
        <w:keepNext/>
        <w:spacing w:before="240" w:after="240" w:line="240" w:lineRule="auto"/>
        <w:rPr>
          <w:rFonts w:ascii="Arial" w:eastAsia="Arial" w:hAnsi="Arial" w:cs="Arial"/>
          <w:sz w:val="24"/>
          <w:szCs w:val="24"/>
        </w:rPr>
      </w:pPr>
      <w:r>
        <w:rPr>
          <w:rFonts w:ascii="Arial" w:eastAsia="Arial" w:hAnsi="Arial" w:cs="Arial"/>
          <w:sz w:val="24"/>
          <w:szCs w:val="24"/>
        </w:rPr>
        <w:t xml:space="preserve">The hourly rates will be calculated by dividing the Day Rate (Time and Materials) by eight (8). </w:t>
      </w:r>
    </w:p>
    <w:p w:rsidR="004C6457" w:rsidRDefault="00857C68">
      <w:pPr>
        <w:spacing w:before="240" w:after="120" w:line="240" w:lineRule="auto"/>
        <w:rPr>
          <w:rFonts w:ascii="Arial" w:eastAsia="Arial" w:hAnsi="Arial" w:cs="Arial"/>
          <w:sz w:val="24"/>
          <w:szCs w:val="24"/>
        </w:rPr>
      </w:pPr>
      <w:r>
        <w:rPr>
          <w:rFonts w:ascii="Arial" w:eastAsia="Arial" w:hAnsi="Arial" w:cs="Arial"/>
          <w:sz w:val="24"/>
          <w:szCs w:val="24"/>
        </w:rPr>
        <w:t>The rates below shall no</w:t>
      </w:r>
      <w:r>
        <w:rPr>
          <w:rFonts w:ascii="Arial" w:eastAsia="Arial" w:hAnsi="Arial" w:cs="Arial"/>
          <w:sz w:val="24"/>
          <w:szCs w:val="24"/>
        </w:rPr>
        <w:t>t be subject to variation by way of Indexation</w:t>
      </w:r>
    </w:p>
    <w:tbl>
      <w:tblPr>
        <w:tblStyle w:val="af6"/>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4C6457">
        <w:tc>
          <w:tcPr>
            <w:tcW w:w="4560" w:type="dxa"/>
            <w:tcBorders>
              <w:bottom w:val="single" w:sz="4" w:space="0" w:color="000000"/>
            </w:tcBorders>
            <w:shd w:val="clear" w:color="auto" w:fill="548DD4"/>
          </w:tcPr>
          <w:p w:rsidR="004C6457" w:rsidRDefault="00857C68">
            <w:pPr>
              <w:keepNext/>
              <w:spacing w:before="240" w:after="120"/>
              <w:ind w:left="142"/>
              <w:rPr>
                <w:rFonts w:ascii="Arial" w:eastAsia="Arial" w:hAnsi="Arial" w:cs="Arial"/>
                <w:b/>
                <w:sz w:val="24"/>
                <w:szCs w:val="24"/>
              </w:rPr>
            </w:pPr>
            <w:r>
              <w:rPr>
                <w:rFonts w:ascii="Arial" w:eastAsia="Arial" w:hAnsi="Arial" w:cs="Arial"/>
                <w:b/>
                <w:sz w:val="24"/>
                <w:szCs w:val="24"/>
              </w:rPr>
              <w:lastRenderedPageBreak/>
              <w:t>Staff Grade</w:t>
            </w:r>
          </w:p>
        </w:tc>
        <w:tc>
          <w:tcPr>
            <w:tcW w:w="4560" w:type="dxa"/>
            <w:tcBorders>
              <w:bottom w:val="single" w:sz="4" w:space="0" w:color="000000"/>
            </w:tcBorders>
            <w:shd w:val="clear" w:color="auto" w:fill="548DD4"/>
          </w:tcPr>
          <w:p w:rsidR="004C6457" w:rsidRDefault="00857C68">
            <w:pPr>
              <w:keepNext/>
              <w:spacing w:before="240" w:after="120"/>
              <w:ind w:left="142"/>
              <w:rPr>
                <w:rFonts w:ascii="Arial" w:eastAsia="Arial" w:hAnsi="Arial" w:cs="Arial"/>
                <w:b/>
                <w:sz w:val="24"/>
                <w:szCs w:val="24"/>
              </w:rPr>
            </w:pPr>
            <w:r>
              <w:rPr>
                <w:rFonts w:ascii="Arial" w:eastAsia="Arial" w:hAnsi="Arial" w:cs="Arial"/>
                <w:b/>
                <w:sz w:val="24"/>
                <w:szCs w:val="24"/>
              </w:rPr>
              <w:t>Hourly Rate (£)</w:t>
            </w:r>
          </w:p>
        </w:tc>
      </w:tr>
      <w:tr w:rsidR="004C6457">
        <w:tc>
          <w:tcPr>
            <w:tcW w:w="4560" w:type="dxa"/>
            <w:tcBorders>
              <w:top w:val="single" w:sz="4" w:space="0" w:color="000000"/>
              <w:left w:val="single" w:sz="4" w:space="0" w:color="000000"/>
              <w:bottom w:val="nil"/>
              <w:right w:val="single" w:sz="4" w:space="0" w:color="000000"/>
            </w:tcBorders>
          </w:tcPr>
          <w:p w:rsidR="004C6457" w:rsidRDefault="00857C68">
            <w:pPr>
              <w:keepNext/>
              <w:spacing w:before="240" w:after="120"/>
              <w:ind w:left="-141"/>
              <w:rPr>
                <w:rFonts w:ascii="Arial" w:eastAsia="Arial" w:hAnsi="Arial" w:cs="Arial"/>
                <w:sz w:val="24"/>
                <w:szCs w:val="24"/>
              </w:rPr>
            </w:pPr>
            <w:r>
              <w:rPr>
                <w:rFonts w:ascii="Arial" w:eastAsia="Arial" w:hAnsi="Arial" w:cs="Arial"/>
                <w:sz w:val="24"/>
                <w:szCs w:val="24"/>
              </w:rPr>
              <w:t xml:space="preserve"> Partner / Managing Director</w:t>
            </w:r>
          </w:p>
        </w:tc>
        <w:tc>
          <w:tcPr>
            <w:tcW w:w="4560" w:type="dxa"/>
            <w:tcBorders>
              <w:top w:val="single" w:sz="4" w:space="0" w:color="000000"/>
              <w:left w:val="single" w:sz="4" w:space="0" w:color="000000"/>
              <w:bottom w:val="single" w:sz="4" w:space="0" w:color="000000"/>
              <w:right w:val="single" w:sz="4" w:space="0" w:color="000000"/>
            </w:tcBorders>
          </w:tcPr>
          <w:p w:rsidR="004C6457" w:rsidRDefault="00857C68">
            <w:pPr>
              <w:keepNext/>
              <w:spacing w:before="240" w:after="120"/>
              <w:ind w:left="142"/>
              <w:rPr>
                <w:rFonts w:ascii="Arial" w:eastAsia="Arial" w:hAnsi="Arial" w:cs="Arial"/>
                <w:sz w:val="24"/>
                <w:szCs w:val="24"/>
              </w:rPr>
            </w:pPr>
            <w:r>
              <w:rPr>
                <w:rFonts w:ascii="Arial" w:eastAsia="Arial" w:hAnsi="Arial" w:cs="Arial"/>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rPr>
                <w:rFonts w:ascii="Arial" w:eastAsia="Arial" w:hAnsi="Arial" w:cs="Arial"/>
                <w:sz w:val="24"/>
                <w:szCs w:val="24"/>
              </w:rPr>
            </w:pPr>
            <w:r>
              <w:rPr>
                <w:rFonts w:ascii="Arial" w:eastAsia="Arial" w:hAnsi="Arial" w:cs="Arial"/>
                <w:sz w:val="24"/>
                <w:szCs w:val="24"/>
              </w:rPr>
              <w:t>Managing Consultant / Director / Associate Partner</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spacing w:before="240" w:after="120"/>
              <w:ind w:left="142"/>
              <w:rPr>
                <w:rFonts w:ascii="Arial" w:eastAsia="Arial" w:hAnsi="Arial" w:cs="Arial"/>
                <w:sz w:val="24"/>
                <w:szCs w:val="24"/>
              </w:rPr>
            </w:pPr>
            <w:r>
              <w:rPr>
                <w:rFonts w:ascii="Arial" w:eastAsia="Arial" w:hAnsi="Arial" w:cs="Arial"/>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 xml:space="preserve">Principal Consultant / Associate Director / Senior Manager </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spacing w:before="240" w:after="120"/>
              <w:ind w:left="142"/>
            </w:pPr>
            <w:r>
              <w:rPr>
                <w:rFonts w:ascii="Arial" w:eastAsia="Arial" w:hAnsi="Arial" w:cs="Arial"/>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Senior Consultant / Manager</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spacing w:before="240" w:after="120"/>
              <w:ind w:left="142"/>
            </w:pPr>
            <w:r>
              <w:rPr>
                <w:rFonts w:ascii="Arial" w:eastAsia="Arial" w:hAnsi="Arial" w:cs="Arial"/>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Consultant / Senior Analyst / Senior Associate / Assistant Manager</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spacing w:before="240" w:after="120"/>
              <w:ind w:left="142"/>
            </w:pPr>
            <w:r>
              <w:rPr>
                <w:rFonts w:ascii="Arial" w:eastAsia="Arial" w:hAnsi="Arial" w:cs="Arial"/>
                <w:sz w:val="24"/>
                <w:szCs w:val="24"/>
              </w:rPr>
              <w:t>[T&amp;M]</w:t>
            </w:r>
          </w:p>
        </w:tc>
      </w:tr>
      <w:tr w:rsidR="004C6457">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4C6457" w:rsidRDefault="00857C68">
            <w:pPr>
              <w:spacing w:before="120" w:after="120"/>
            </w:pPr>
            <w:r>
              <w:rPr>
                <w:rFonts w:ascii="Arial" w:eastAsia="Arial" w:hAnsi="Arial" w:cs="Arial"/>
                <w:sz w:val="24"/>
                <w:szCs w:val="24"/>
              </w:rPr>
              <w:t>Analyst / Junior Consultant / Associate</w:t>
            </w:r>
          </w:p>
        </w:tc>
        <w:tc>
          <w:tcPr>
            <w:tcW w:w="4560" w:type="dxa"/>
            <w:tcBorders>
              <w:top w:val="single" w:sz="4" w:space="0" w:color="000000"/>
              <w:left w:val="single" w:sz="6" w:space="0" w:color="000000"/>
              <w:bottom w:val="single" w:sz="4" w:space="0" w:color="000000"/>
              <w:right w:val="single" w:sz="4" w:space="0" w:color="000000"/>
            </w:tcBorders>
          </w:tcPr>
          <w:p w:rsidR="004C6457" w:rsidRDefault="00857C68">
            <w:pPr>
              <w:keepNext/>
              <w:spacing w:before="240" w:after="120"/>
              <w:ind w:left="142"/>
            </w:pPr>
            <w:r>
              <w:rPr>
                <w:rFonts w:ascii="Arial" w:eastAsia="Arial" w:hAnsi="Arial" w:cs="Arial"/>
                <w:sz w:val="24"/>
                <w:szCs w:val="24"/>
              </w:rPr>
              <w:t>[T&amp;M]</w:t>
            </w:r>
          </w:p>
        </w:tc>
      </w:tr>
    </w:tbl>
    <w:p w:rsidR="004C6457" w:rsidRDefault="00857C68">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Pr>
          <w:rFonts w:ascii="Arial" w:eastAsia="Arial" w:hAnsi="Arial" w:cs="Arial"/>
          <w:b/>
          <w:sz w:val="24"/>
          <w:szCs w:val="24"/>
        </w:rPr>
        <w:t>3</w:t>
      </w:r>
      <w:r>
        <w:rPr>
          <w:rFonts w:ascii="Arial" w:eastAsia="Arial" w:hAnsi="Arial" w:cs="Arial"/>
          <w:b/>
          <w:color w:val="000000"/>
          <w:sz w:val="24"/>
          <w:szCs w:val="24"/>
        </w:rPr>
        <w:t>: Fixed Prices</w:t>
      </w:r>
    </w:p>
    <w:p w:rsidR="004C6457" w:rsidRDefault="00857C68">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of services below shall not be subject to variation by way of Indexation</w:t>
      </w:r>
    </w:p>
    <w:tbl>
      <w:tblPr>
        <w:tblStyle w:val="af7"/>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4C6457">
        <w:tc>
          <w:tcPr>
            <w:tcW w:w="4508" w:type="dxa"/>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4C6457">
        <w:tc>
          <w:tcPr>
            <w:tcW w:w="4508"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fixed price 1]</w:t>
            </w:r>
          </w:p>
        </w:tc>
        <w:tc>
          <w:tcPr>
            <w:tcW w:w="4508" w:type="dxa"/>
            <w:shd w:val="clear" w:color="auto" w:fill="FFFFFF"/>
          </w:tcPr>
          <w:p w:rsidR="004C6457" w:rsidRDefault="004C645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4C6457">
        <w:tc>
          <w:tcPr>
            <w:tcW w:w="4508"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fixed price 2]</w:t>
            </w:r>
          </w:p>
        </w:tc>
        <w:tc>
          <w:tcPr>
            <w:tcW w:w="4508" w:type="dxa"/>
            <w:shd w:val="clear" w:color="auto" w:fill="FFFFFF"/>
          </w:tcPr>
          <w:p w:rsidR="004C6457" w:rsidRDefault="004C6457">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4C6457" w:rsidRDefault="00857C68">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Pr>
          <w:rFonts w:ascii="Arial" w:eastAsia="Arial" w:hAnsi="Arial" w:cs="Arial"/>
          <w:b/>
          <w:sz w:val="24"/>
          <w:szCs w:val="24"/>
        </w:rPr>
        <w:t>4</w:t>
      </w:r>
      <w:r>
        <w:rPr>
          <w:rFonts w:ascii="Arial" w:eastAsia="Arial" w:hAnsi="Arial" w:cs="Arial"/>
          <w:b/>
          <w:color w:val="000000"/>
          <w:sz w:val="24"/>
          <w:szCs w:val="24"/>
        </w:rPr>
        <w:t>: Volume Based Prices</w:t>
      </w:r>
    </w:p>
    <w:p w:rsidR="004C6457" w:rsidRDefault="00857C68">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f8"/>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4C6457">
        <w:tc>
          <w:tcPr>
            <w:tcW w:w="2254" w:type="dxa"/>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4C6457" w:rsidRDefault="00857C68">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4C6457">
        <w:tc>
          <w:tcPr>
            <w:tcW w:w="2254" w:type="dxa"/>
            <w:vMerge w:val="restart"/>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volume based price 1]</w:t>
            </w:r>
          </w:p>
        </w:tc>
        <w:tc>
          <w:tcPr>
            <w:tcW w:w="2254" w:type="dxa"/>
            <w:vMerge w:val="restart"/>
          </w:tcPr>
          <w:p w:rsidR="004C6457" w:rsidRDefault="004C6457">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4C6457">
        <w:trPr>
          <w:trHeight w:val="701"/>
        </w:trPr>
        <w:tc>
          <w:tcPr>
            <w:tcW w:w="2254" w:type="dxa"/>
            <w:vMerge/>
          </w:tcPr>
          <w:p w:rsidR="004C6457" w:rsidRDefault="004C645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4C6457" w:rsidRDefault="004C645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4C6457">
        <w:tc>
          <w:tcPr>
            <w:tcW w:w="2254" w:type="dxa"/>
            <w:vMerge w:val="restart"/>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[e.g. volume based price 2]</w:t>
            </w:r>
          </w:p>
        </w:tc>
        <w:tc>
          <w:tcPr>
            <w:tcW w:w="2254" w:type="dxa"/>
            <w:vMerge w:val="restart"/>
          </w:tcPr>
          <w:p w:rsidR="004C6457" w:rsidRDefault="004C6457">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4C6457">
        <w:tc>
          <w:tcPr>
            <w:tcW w:w="2254" w:type="dxa"/>
            <w:vMerge/>
          </w:tcPr>
          <w:p w:rsidR="004C6457" w:rsidRDefault="004C645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4C6457" w:rsidRDefault="004C645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C6457" w:rsidRDefault="00857C68">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bl>
    <w:p w:rsidR="004C6457" w:rsidRDefault="004C6457">
      <w:pPr>
        <w:spacing w:before="240" w:after="120" w:line="240" w:lineRule="auto"/>
        <w:rPr>
          <w:rFonts w:ascii="Arial" w:eastAsia="Arial" w:hAnsi="Arial" w:cs="Arial"/>
          <w:color w:val="000000"/>
          <w:sz w:val="24"/>
          <w:szCs w:val="24"/>
        </w:rPr>
      </w:pPr>
    </w:p>
    <w:p w:rsidR="004C6457" w:rsidRDefault="004C6457">
      <w:pPr>
        <w:keepNext/>
        <w:spacing w:before="240" w:after="240" w:line="240" w:lineRule="auto"/>
        <w:rPr>
          <w:rFonts w:ascii="Arial" w:eastAsia="Arial" w:hAnsi="Arial" w:cs="Arial"/>
          <w:b/>
          <w:sz w:val="24"/>
          <w:szCs w:val="24"/>
        </w:rPr>
      </w:pPr>
    </w:p>
    <w:p w:rsidR="004C6457" w:rsidRDefault="00857C68">
      <w:pPr>
        <w:keepNext/>
        <w:spacing w:before="240" w:after="240" w:line="240" w:lineRule="auto"/>
        <w:rPr>
          <w:rFonts w:ascii="Arial" w:eastAsia="Arial" w:hAnsi="Arial" w:cs="Arial"/>
          <w:b/>
          <w:sz w:val="24"/>
          <w:szCs w:val="24"/>
        </w:rPr>
      </w:pPr>
      <w:r>
        <w:rPr>
          <w:rFonts w:ascii="Arial" w:eastAsia="Arial" w:hAnsi="Arial" w:cs="Arial"/>
          <w:b/>
          <w:sz w:val="24"/>
          <w:szCs w:val="24"/>
        </w:rPr>
        <w:t>Table 5: Risk and Reward Prices</w:t>
      </w:r>
    </w:p>
    <w:p w:rsidR="004C6457" w:rsidRDefault="00857C68">
      <w:pPr>
        <w:spacing w:before="240" w:after="120" w:line="240" w:lineRule="auto"/>
        <w:ind w:left="-142"/>
        <w:rPr>
          <w:rFonts w:ascii="Arial" w:eastAsia="Arial" w:hAnsi="Arial" w:cs="Arial"/>
          <w:sz w:val="24"/>
          <w:szCs w:val="24"/>
        </w:rPr>
      </w:pPr>
      <w:r>
        <w:rPr>
          <w:rFonts w:ascii="Arial" w:eastAsia="Arial" w:hAnsi="Arial" w:cs="Arial"/>
          <w:sz w:val="24"/>
          <w:szCs w:val="24"/>
        </w:rPr>
        <w:t>The rates below shall not be subject to variation by way of Indexation</w:t>
      </w:r>
    </w:p>
    <w:p w:rsidR="004C6457" w:rsidRDefault="004C6457">
      <w:pPr>
        <w:spacing w:before="240" w:after="120" w:line="240" w:lineRule="auto"/>
        <w:rPr>
          <w:rFonts w:ascii="Arial" w:eastAsia="Arial" w:hAnsi="Arial" w:cs="Arial"/>
          <w:b/>
          <w:i/>
          <w:sz w:val="24"/>
          <w:szCs w:val="24"/>
        </w:rPr>
      </w:pPr>
    </w:p>
    <w:tbl>
      <w:tblPr>
        <w:tblStyle w:val="af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4C6457">
        <w:tc>
          <w:tcPr>
            <w:tcW w:w="4508" w:type="dxa"/>
            <w:shd w:val="clear" w:color="auto" w:fill="548DD4"/>
          </w:tcPr>
          <w:p w:rsidR="004C6457" w:rsidRDefault="00857C68">
            <w:pPr>
              <w:keepNext/>
              <w:spacing w:before="240" w:after="120"/>
              <w:ind w:left="142"/>
              <w:rPr>
                <w:rFonts w:ascii="Arial" w:eastAsia="Arial" w:hAnsi="Arial" w:cs="Arial"/>
                <w:b/>
                <w:sz w:val="24"/>
                <w:szCs w:val="24"/>
              </w:rPr>
            </w:pPr>
            <w:r>
              <w:rPr>
                <w:rFonts w:ascii="Arial" w:eastAsia="Arial" w:hAnsi="Arial" w:cs="Arial"/>
                <w:b/>
                <w:sz w:val="24"/>
                <w:szCs w:val="24"/>
              </w:rPr>
              <w:t>Framework Price</w:t>
            </w:r>
          </w:p>
        </w:tc>
        <w:tc>
          <w:tcPr>
            <w:tcW w:w="4508" w:type="dxa"/>
            <w:shd w:val="clear" w:color="auto" w:fill="548DD4"/>
          </w:tcPr>
          <w:p w:rsidR="004C6457" w:rsidRDefault="00857C68">
            <w:pPr>
              <w:keepNext/>
              <w:spacing w:before="240" w:after="120"/>
              <w:ind w:left="142"/>
              <w:rPr>
                <w:rFonts w:ascii="Arial" w:eastAsia="Arial" w:hAnsi="Arial" w:cs="Arial"/>
                <w:b/>
                <w:sz w:val="24"/>
                <w:szCs w:val="24"/>
              </w:rPr>
            </w:pPr>
            <w:r>
              <w:rPr>
                <w:rFonts w:ascii="Arial" w:eastAsia="Arial" w:hAnsi="Arial" w:cs="Arial"/>
                <w:b/>
                <w:sz w:val="24"/>
                <w:szCs w:val="24"/>
              </w:rPr>
              <w:t>Risk and Reward Framework Price (£)</w:t>
            </w:r>
          </w:p>
        </w:tc>
      </w:tr>
      <w:tr w:rsidR="004C6457">
        <w:tc>
          <w:tcPr>
            <w:tcW w:w="4508" w:type="dxa"/>
          </w:tcPr>
          <w:p w:rsidR="004C6457" w:rsidRDefault="00857C68">
            <w:pPr>
              <w:keepNext/>
              <w:spacing w:before="240" w:after="120"/>
              <w:ind w:left="142"/>
              <w:rPr>
                <w:rFonts w:ascii="Arial" w:eastAsia="Arial" w:hAnsi="Arial" w:cs="Arial"/>
                <w:sz w:val="24"/>
                <w:szCs w:val="24"/>
                <w:highlight w:val="yellow"/>
              </w:rPr>
            </w:pPr>
            <w:r>
              <w:rPr>
                <w:rFonts w:ascii="Arial" w:eastAsia="Arial" w:hAnsi="Arial" w:cs="Arial"/>
                <w:sz w:val="24"/>
                <w:szCs w:val="24"/>
                <w:highlight w:val="yellow"/>
              </w:rPr>
              <w:t>[e.g. risk and reward price 1]</w:t>
            </w:r>
          </w:p>
        </w:tc>
        <w:tc>
          <w:tcPr>
            <w:tcW w:w="4508" w:type="dxa"/>
            <w:shd w:val="clear" w:color="auto" w:fill="FFFFFF"/>
          </w:tcPr>
          <w:p w:rsidR="004C6457" w:rsidRDefault="004C6457">
            <w:pPr>
              <w:keepNext/>
              <w:spacing w:before="240" w:after="120"/>
              <w:ind w:left="142"/>
              <w:rPr>
                <w:rFonts w:ascii="Arial" w:eastAsia="Arial" w:hAnsi="Arial" w:cs="Arial"/>
                <w:sz w:val="24"/>
                <w:szCs w:val="24"/>
              </w:rPr>
            </w:pPr>
          </w:p>
        </w:tc>
      </w:tr>
      <w:tr w:rsidR="004C6457">
        <w:tc>
          <w:tcPr>
            <w:tcW w:w="4508" w:type="dxa"/>
          </w:tcPr>
          <w:p w:rsidR="004C6457" w:rsidRDefault="00857C68">
            <w:pPr>
              <w:keepNext/>
              <w:spacing w:before="240" w:after="120"/>
              <w:ind w:left="142"/>
              <w:rPr>
                <w:rFonts w:ascii="Arial" w:eastAsia="Arial" w:hAnsi="Arial" w:cs="Arial"/>
                <w:sz w:val="24"/>
                <w:szCs w:val="24"/>
                <w:highlight w:val="yellow"/>
              </w:rPr>
            </w:pPr>
            <w:r>
              <w:rPr>
                <w:rFonts w:ascii="Arial" w:eastAsia="Arial" w:hAnsi="Arial" w:cs="Arial"/>
                <w:sz w:val="24"/>
                <w:szCs w:val="24"/>
                <w:highlight w:val="yellow"/>
              </w:rPr>
              <w:t>[e.g. risk and reward price 2]</w:t>
            </w:r>
          </w:p>
        </w:tc>
        <w:tc>
          <w:tcPr>
            <w:tcW w:w="4508" w:type="dxa"/>
            <w:shd w:val="clear" w:color="auto" w:fill="FFFFFF"/>
          </w:tcPr>
          <w:p w:rsidR="004C6457" w:rsidRDefault="004C6457">
            <w:pPr>
              <w:keepNext/>
              <w:spacing w:before="240" w:after="120"/>
              <w:ind w:left="142"/>
              <w:rPr>
                <w:rFonts w:ascii="Arial" w:eastAsia="Arial" w:hAnsi="Arial" w:cs="Arial"/>
                <w:sz w:val="24"/>
                <w:szCs w:val="24"/>
              </w:rPr>
            </w:pPr>
          </w:p>
        </w:tc>
      </w:tr>
    </w:tbl>
    <w:p w:rsidR="004C6457" w:rsidRDefault="004C6457">
      <w:pPr>
        <w:keepNext/>
        <w:spacing w:before="240" w:after="240" w:line="240" w:lineRule="auto"/>
        <w:rPr>
          <w:rFonts w:ascii="Arial" w:eastAsia="Arial" w:hAnsi="Arial" w:cs="Arial"/>
          <w:sz w:val="24"/>
          <w:szCs w:val="24"/>
        </w:rPr>
      </w:pPr>
      <w:bookmarkStart w:id="5" w:name="_GoBack"/>
      <w:bookmarkEnd w:id="5"/>
    </w:p>
    <w:sectPr w:rsidR="004C6457">
      <w:footerReference w:type="default" r:id="rId8"/>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C68" w:rsidRDefault="00857C68">
      <w:pPr>
        <w:spacing w:after="0" w:line="240" w:lineRule="auto"/>
      </w:pPr>
      <w:r>
        <w:separator/>
      </w:r>
    </w:p>
  </w:endnote>
  <w:endnote w:type="continuationSeparator" w:id="0">
    <w:p w:rsidR="00857C68" w:rsidRDefault="00857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457" w:rsidRDefault="00857C68">
    <w:pPr>
      <w:rPr>
        <w:rFonts w:ascii="Arial" w:eastAsia="Arial" w:hAnsi="Arial" w:cs="Arial"/>
      </w:rPr>
    </w:pPr>
    <w:r>
      <w:rPr>
        <w:rFonts w:ascii="Arial" w:eastAsia="Arial" w:hAnsi="Arial" w:cs="Arial"/>
      </w:rPr>
      <w:t>Framework Ref: RM6269</w:t>
    </w:r>
    <w:r>
      <w:rPr>
        <w:rFonts w:ascii="Arial" w:eastAsia="Arial" w:hAnsi="Arial" w:cs="Arial"/>
      </w:rPr>
      <w:tab/>
      <w:t xml:space="preserve">                                           </w:t>
    </w:r>
  </w:p>
  <w:p w:rsidR="004C6457" w:rsidRDefault="00857C68">
    <w:pPr>
      <w:rPr>
        <w:rFonts w:ascii="Arial" w:eastAsia="Arial" w:hAnsi="Arial" w:cs="Arial"/>
      </w:rPr>
    </w:pPr>
    <w:r>
      <w:rPr>
        <w:rFonts w:ascii="Arial" w:eastAsia="Arial" w:hAnsi="Arial" w:cs="Arial"/>
      </w:rPr>
      <w:t>Model Version: v3.2</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1</w:t>
    </w:r>
  </w:p>
  <w:p w:rsidR="004C6457" w:rsidRDefault="004C6457">
    <w:pPr>
      <w:rPr>
        <w:rFonts w:ascii="Arial" w:eastAsia="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C68" w:rsidRDefault="00857C68">
      <w:pPr>
        <w:spacing w:after="0" w:line="240" w:lineRule="auto"/>
      </w:pPr>
      <w:r>
        <w:separator/>
      </w:r>
    </w:p>
  </w:footnote>
  <w:footnote w:type="continuationSeparator" w:id="0">
    <w:p w:rsidR="00857C68" w:rsidRDefault="00857C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F54"/>
    <w:multiLevelType w:val="multilevel"/>
    <w:tmpl w:val="B5E004A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8A2E77"/>
    <w:multiLevelType w:val="multilevel"/>
    <w:tmpl w:val="6AC215FE"/>
    <w:lvl w:ilvl="0">
      <w:start w:val="1"/>
      <w:numFmt w:val="decimal"/>
      <w:pStyle w:val="GPSL1CLAUSEHEADING"/>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firstLine="143"/>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457"/>
    <w:rsid w:val="00042992"/>
    <w:rsid w:val="00114079"/>
    <w:rsid w:val="004C6457"/>
    <w:rsid w:val="00857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06A7CD-2C1E-45A4-82A1-79BC9464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 w:type="table" w:customStyle="1" w:styleId="ab">
    <w:basedOn w:val="TableNormal"/>
    <w:pPr>
      <w:spacing w:after="0" w:line="240" w:lineRule="auto"/>
    </w:pPr>
    <w:tblPr>
      <w:tblStyleRowBandSize w:val="1"/>
      <w:tblStyleColBandSize w:val="1"/>
      <w:tblCellMar>
        <w:left w:w="115" w:type="dxa"/>
        <w:right w:w="115" w:type="dxa"/>
      </w:tblCellMar>
    </w:tblPr>
  </w:style>
  <w:style w:type="table" w:customStyle="1" w:styleId="ac">
    <w:basedOn w:val="TableNormal"/>
    <w:pPr>
      <w:spacing w:after="0" w:line="240" w:lineRule="auto"/>
    </w:pPr>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left w:w="115" w:type="dxa"/>
        <w:right w:w="115" w:type="dxa"/>
      </w:tblCellMar>
    </w:tblPr>
  </w:style>
  <w:style w:type="table" w:customStyle="1" w:styleId="ae">
    <w:basedOn w:val="TableNormal"/>
    <w:pPr>
      <w:spacing w:after="0" w:line="240" w:lineRule="auto"/>
    </w:pPr>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left w:w="115" w:type="dxa"/>
        <w:right w:w="115" w:type="dxa"/>
      </w:tblCellMar>
    </w:tblPr>
  </w:style>
  <w:style w:type="table" w:customStyle="1" w:styleId="af1">
    <w:basedOn w:val="TableNormal"/>
    <w:pPr>
      <w:spacing w:after="0" w:line="240" w:lineRule="auto"/>
    </w:pPr>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CellMar>
        <w:left w:w="115" w:type="dxa"/>
        <w:right w:w="115" w:type="dxa"/>
      </w:tblCellMar>
    </w:tblPr>
  </w:style>
  <w:style w:type="table" w:customStyle="1" w:styleId="af3">
    <w:basedOn w:val="TableNormal"/>
    <w:pPr>
      <w:spacing w:after="0" w:line="240" w:lineRule="auto"/>
    </w:pPr>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style>
  <w:style w:type="table" w:customStyle="1" w:styleId="af5">
    <w:basedOn w:val="TableNormal"/>
    <w:pPr>
      <w:spacing w:after="0" w:line="240" w:lineRule="auto"/>
    </w:pPr>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CellMar>
        <w:left w:w="115" w:type="dxa"/>
        <w:right w:w="115" w:type="dxa"/>
      </w:tblCellMar>
    </w:tblPr>
  </w:style>
  <w:style w:type="table" w:customStyle="1" w:styleId="af8">
    <w:basedOn w:val="TableNormal"/>
    <w:pPr>
      <w:spacing w:after="0" w:line="240" w:lineRule="auto"/>
    </w:pPr>
    <w:tblPr>
      <w:tblStyleRowBandSize w:val="1"/>
      <w:tblStyleColBandSize w:val="1"/>
      <w:tblCellMar>
        <w:left w:w="115" w:type="dxa"/>
        <w:right w:w="115" w:type="dxa"/>
      </w:tblCellMar>
    </w:tblPr>
  </w:style>
  <w:style w:type="table" w:customStyle="1" w:styleId="af9">
    <w:basedOn w:val="TableNormal"/>
    <w:pPr>
      <w:spacing w:after="0" w:line="240" w:lineRule="auto"/>
    </w:pPr>
    <w:tblPr>
      <w:tblStyleRowBandSize w:val="1"/>
      <w:tblStyleColBandSize w:val="1"/>
      <w:tblCellMar>
        <w:left w:w="115" w:type="dxa"/>
        <w:right w:w="115" w:type="dxa"/>
      </w:tblCellMar>
    </w:tblPr>
  </w:style>
  <w:style w:type="table" w:customStyle="1" w:styleId="af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EarelDQUq/0JEKG+gnrCJobN0A==">AMUW2mVDhAY8PnhvAMOcQx3fylhqvxyAIaHKtBqkyhbj3BwegbZ/1whmjgOnJb/h/fmEewjbtufhlfEsnpGlGswZX57dSWMHiHDza8Mct1C9yumyPMxkMYZJU+B3QMXrqIQNNwtJq8xAl7vUjgMyNRLQ5BTe8Q4EMsX0DYvCM3SbJlsfokPFWts=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859</Words>
  <Characters>4902</Characters>
  <Application>Microsoft Office Word</Application>
  <DocSecurity>0</DocSecurity>
  <Lines>40</Lines>
  <Paragraphs>11</Paragraphs>
  <ScaleCrop>false</ScaleCrop>
  <Company>Cabinet Office</Company>
  <LinksUpToDate>false</LinksUpToDate>
  <CharactersWithSpaces>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3</cp:revision>
  <dcterms:created xsi:type="dcterms:W3CDTF">2020-10-16T10:45:00Z</dcterms:created>
  <dcterms:modified xsi:type="dcterms:W3CDTF">2022-01-20T11:55:00Z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